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6D" w:rsidRDefault="00CB1A6D" w:rsidP="00CB1A6D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bookmarkStart w:id="0" w:name="_GoBack"/>
      <w:bookmarkEnd w:id="0"/>
      <w:r>
        <w:rPr>
          <w:sz w:val="24"/>
          <w:szCs w:val="24"/>
        </w:rPr>
        <w:t>нформация о цепочке собственников, включая бенефициаров (в том числе конечных)</w:t>
      </w:r>
    </w:p>
    <w:p w:rsidR="00CB1A6D" w:rsidRDefault="00CB1A6D" w:rsidP="00CB1A6D">
      <w:pPr>
        <w:jc w:val="center"/>
        <w:rPr>
          <w:sz w:val="20"/>
        </w:rPr>
      </w:pPr>
      <w:r>
        <w:rPr>
          <w:sz w:val="20"/>
        </w:rPr>
        <w:t>_____________________________________________________________</w:t>
      </w:r>
    </w:p>
    <w:p w:rsidR="00CB1A6D" w:rsidRDefault="00CB1A6D" w:rsidP="00CB1A6D">
      <w:pPr>
        <w:jc w:val="center"/>
      </w:pPr>
      <w:r>
        <w:rPr>
          <w:sz w:val="16"/>
          <w:szCs w:val="16"/>
        </w:rPr>
        <w:t>(наименование общества, представляющего информацию)</w:t>
      </w:r>
    </w:p>
    <w:p w:rsidR="00CB1A6D" w:rsidRDefault="00CB1A6D" w:rsidP="00CB1A6D"/>
    <w:p w:rsidR="00CB1A6D" w:rsidRDefault="00CB1A6D" w:rsidP="00CB1A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464"/>
        <w:gridCol w:w="511"/>
        <w:gridCol w:w="928"/>
        <w:gridCol w:w="603"/>
        <w:gridCol w:w="882"/>
        <w:gridCol w:w="1086"/>
        <w:gridCol w:w="426"/>
        <w:gridCol w:w="653"/>
        <w:gridCol w:w="472"/>
        <w:gridCol w:w="653"/>
        <w:gridCol w:w="915"/>
        <w:gridCol w:w="421"/>
        <w:gridCol w:w="463"/>
        <w:gridCol w:w="510"/>
        <w:gridCol w:w="1213"/>
        <w:gridCol w:w="822"/>
        <w:gridCol w:w="1086"/>
        <w:gridCol w:w="1175"/>
        <w:gridCol w:w="1081"/>
      </w:tblGrid>
      <w:tr w:rsidR="00CB1A6D" w:rsidTr="00CB1A6D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контрагента</w:t>
            </w:r>
          </w:p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(ИНН, вид деятельности)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Договор (реквизиты, предмет,</w:t>
            </w:r>
            <w:proofErr w:type="gramEnd"/>
          </w:p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цена, срок действия и иные существенные условия)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5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</w:tr>
      <w:tr w:rsidR="00CB1A6D" w:rsidTr="00CB1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Код ОКВЭД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>имя</w:t>
            </w:r>
            <w:r>
              <w:rPr>
                <w:sz w:val="12"/>
                <w:szCs w:val="12"/>
                <w:lang w:val="en-US"/>
              </w:rPr>
              <w:t xml:space="preserve">, </w:t>
            </w:r>
            <w:r>
              <w:rPr>
                <w:sz w:val="12"/>
                <w:szCs w:val="12"/>
              </w:rPr>
              <w:t>отчество руководителя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и дата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предмет договора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цена (млн. </w:t>
            </w:r>
            <w:proofErr w:type="spellStart"/>
            <w:r>
              <w:rPr>
                <w:sz w:val="12"/>
                <w:szCs w:val="12"/>
              </w:rPr>
              <w:t>руб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срок действия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иные существенные условия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ОГРН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Наименование/ФИО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регистрации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Руководитель/</w:t>
            </w:r>
          </w:p>
          <w:p w:rsidR="00CB1A6D" w:rsidRDefault="00CB1A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участник/акционер/</w:t>
            </w:r>
          </w:p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бенефициар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Информация о подтверждающих документах (наименование, реквизиты и т.д.)</w:t>
            </w:r>
          </w:p>
        </w:tc>
      </w:tr>
      <w:tr w:rsidR="00CB1A6D" w:rsidTr="00CB1A6D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B1A6D" w:rsidTr="00CB1A6D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B1A6D" w:rsidTr="00CB1A6D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B1A6D" w:rsidTr="00CB1A6D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B1A6D" w:rsidTr="00CB1A6D">
        <w:trPr>
          <w:trHeight w:val="3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D" w:rsidRDefault="00CB1A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:rsidR="00CB1A6D" w:rsidRDefault="00CB1A6D" w:rsidP="00CB1A6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1A6D" w:rsidRDefault="00CB1A6D" w:rsidP="00CB1A6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CB1A6D" w:rsidRDefault="00CB1A6D" w:rsidP="00CB1A6D">
      <w:pPr>
        <w:pStyle w:val="Style3"/>
        <w:widowControl/>
        <w:numPr>
          <w:ilvl w:val="0"/>
          <w:numId w:val="1"/>
        </w:numPr>
        <w:tabs>
          <w:tab w:val="left" w:pos="970"/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Все графы таблицы должны быть заполнены.</w:t>
      </w:r>
    </w:p>
    <w:p w:rsidR="00CB1A6D" w:rsidRDefault="00CB1A6D" w:rsidP="00CB1A6D">
      <w:pPr>
        <w:pStyle w:val="Style3"/>
        <w:widowControl/>
        <w:numPr>
          <w:ilvl w:val="0"/>
          <w:numId w:val="1"/>
        </w:numPr>
        <w:tabs>
          <w:tab w:val="left" w:pos="970"/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CB1A6D" w:rsidRDefault="00CB1A6D" w:rsidP="00CB1A6D">
      <w:pPr>
        <w:pStyle w:val="Style3"/>
        <w:widowControl/>
        <w:numPr>
          <w:ilvl w:val="0"/>
          <w:numId w:val="1"/>
        </w:numPr>
        <w:tabs>
          <w:tab w:val="left" w:pos="970"/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:rsidR="00CB1A6D" w:rsidRDefault="00CB1A6D" w:rsidP="00CB1A6D">
      <w:pPr>
        <w:pStyle w:val="Style3"/>
        <w:widowControl/>
        <w:numPr>
          <w:ilvl w:val="0"/>
          <w:numId w:val="1"/>
        </w:numPr>
        <w:tabs>
          <w:tab w:val="left" w:pos="970"/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:rsidR="00CB1A6D" w:rsidRDefault="00CB1A6D" w:rsidP="00CB1A6D">
      <w:pPr>
        <w:pStyle w:val="Style3"/>
        <w:widowControl/>
        <w:numPr>
          <w:ilvl w:val="0"/>
          <w:numId w:val="1"/>
        </w:numPr>
        <w:tabs>
          <w:tab w:val="left" w:pos="970"/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– для подтверждения данных о руководителе – решение уполномоченного органа о его избрании/назначении;</w:t>
      </w:r>
    </w:p>
    <w:p w:rsid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– для подтверждения данных об участии в уставных капиталах –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организаций.</w:t>
      </w:r>
    </w:p>
    <w:p w:rsid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интернет–сайтах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интернет–сайта соответствующего общества и наименование документа.</w:t>
      </w:r>
    </w:p>
    <w:p w:rsid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>
        <w:rPr>
          <w:rStyle w:val="FontStyle16"/>
          <w:sz w:val="16"/>
          <w:szCs w:val="16"/>
        </w:rPr>
        <w:t>В отношении Участников, являющихся зарубежными публичными организациями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организация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654061" w:rsidRPr="00CB1A6D" w:rsidRDefault="00CB1A6D" w:rsidP="00CB1A6D">
      <w:pPr>
        <w:pStyle w:val="Style1"/>
        <w:widowControl/>
        <w:tabs>
          <w:tab w:val="left" w:pos="1134"/>
        </w:tabs>
        <w:spacing w:line="240" w:lineRule="auto"/>
        <w:ind w:firstLine="691"/>
        <w:jc w:val="both"/>
      </w:pPr>
      <w:proofErr w:type="gramStart"/>
      <w:r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sectPr w:rsidR="00654061" w:rsidRPr="00CB1A6D" w:rsidSect="00CB1A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6D"/>
    <w:rsid w:val="00654061"/>
    <w:rsid w:val="00C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B1A6D"/>
    <w:pPr>
      <w:widowControl w:val="0"/>
      <w:autoSpaceDE w:val="0"/>
      <w:autoSpaceDN w:val="0"/>
      <w:adjustRightInd w:val="0"/>
      <w:spacing w:line="305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CB1A6D"/>
    <w:pPr>
      <w:widowControl w:val="0"/>
      <w:autoSpaceDE w:val="0"/>
      <w:autoSpaceDN w:val="0"/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6">
    <w:name w:val="Font Style16"/>
    <w:rsid w:val="00CB1A6D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B1A6D"/>
    <w:pPr>
      <w:widowControl w:val="0"/>
      <w:autoSpaceDE w:val="0"/>
      <w:autoSpaceDN w:val="0"/>
      <w:adjustRightInd w:val="0"/>
      <w:spacing w:line="305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CB1A6D"/>
    <w:pPr>
      <w:widowControl w:val="0"/>
      <w:autoSpaceDE w:val="0"/>
      <w:autoSpaceDN w:val="0"/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6">
    <w:name w:val="Font Style16"/>
    <w:rsid w:val="00CB1A6D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Цибулько Анна Сергеевна</dc:creator>
  <cp:lastModifiedBy>Цибулько Анна Сергеевна</cp:lastModifiedBy>
  <cp:revision>1</cp:revision>
  <dcterms:created xsi:type="dcterms:W3CDTF">2017-07-24T13:33:00Z</dcterms:created>
  <dcterms:modified xsi:type="dcterms:W3CDTF">2017-07-24T13:33:00Z</dcterms:modified>
</cp:coreProperties>
</file>